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/>
      </w:pPr>
      <w:r>
        <w:rPr>
          <w:rFonts w:cs="Times New Roman" w:ascii="Times New Roman" w:hAnsi="Times New Roman"/>
          <w:b/>
          <w:sz w:val="24"/>
          <w:szCs w:val="24"/>
          <w:shd w:fill="auto" w:val="clear"/>
        </w:rPr>
        <w:t xml:space="preserve">Processo nº: </w:t>
      </w:r>
      <w:r>
        <w:rPr>
          <w:rStyle w:val="Nfaseforte"/>
          <w:rFonts w:cs="Times New Roman" w:ascii="Times New Roman" w:hAnsi="Times New Roman"/>
          <w:sz w:val="24"/>
          <w:szCs w:val="24"/>
          <w:shd w:fill="auto" w:val="clear"/>
        </w:rPr>
        <w:t xml:space="preserve">63410.019251/2024-31 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Interessado: Serviço de Veteranos e Pensionistas da Marinha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Assunto: </w:t>
      </w:r>
      <w:r>
        <w:rPr>
          <w:rFonts w:cs="Times New Roman" w:ascii="Times New Roman" w:hAnsi="Times New Roman"/>
          <w:sz w:val="24"/>
          <w:szCs w:val="24"/>
        </w:rPr>
        <w:t>Aquisição de materiais para a manutenção preventiva e corretiva do sistema elétrico e predial do SVPM.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ESTUDOS PRELIMINARES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hd w:val="clear" w:color="auto" w:fill="BFBFBF" w:themeFill="background1" w:themeFillShade="bf"/>
        <w:spacing w:lineRule="auto" w:line="240" w:before="0" w:after="0"/>
        <w:ind w:left="0" w:firstLine="36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OBJETO DA CONTRATAÇÃO</w:t>
      </w:r>
    </w:p>
    <w:p>
      <w:pPr>
        <w:pStyle w:val="ListParagraph"/>
        <w:shd w:val="clear" w:color="auto" w:fill="FFFFFF" w:themeFill="background1"/>
        <w:spacing w:lineRule="auto" w:line="240" w:before="0" w:after="0"/>
        <w:ind w:left="360" w:hanging="0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shd w:val="clear" w:color="auto" w:fill="FFFFFF" w:themeFill="background1"/>
        <w:spacing w:lineRule="auto" w:line="240" w:before="0" w:after="0"/>
        <w:ind w:left="360" w:hanging="0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A licitação em apreço tem como objetivo a eventual aquisição de material para as manutenções preventivas e corretivas dos sistemas elétricos, visando atender o Serviço de Veteranos e Pensionistas da Marinha (SVPM), conforme condições, quantidades, exigências e estimativas, estabelecidas neste instrumento, inclusive a demandas encaminhadas pelos órgãos e entidades participantes, conforme condições, quantidades e exigências estabelecidas no respectivo instrumento.</w:t>
      </w:r>
    </w:p>
    <w:p>
      <w:pPr>
        <w:pStyle w:val="ListParagraph"/>
        <w:shd w:val="clear" w:color="auto" w:fill="FFFFFF" w:themeFill="background1"/>
        <w:spacing w:lineRule="auto" w:line="240" w:before="0" w:after="0"/>
        <w:ind w:left="36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NECESSIDADE DA CONTRATAÇÃO</w:t>
      </w:r>
    </w:p>
    <w:p>
      <w:pPr>
        <w:pStyle w:val="ListParagraph"/>
        <w:numPr>
          <w:ilvl w:val="1"/>
          <w:numId w:val="1"/>
        </w:numPr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presente contratação surge em razão da necessidade do reparo, manutenção ou substituição de partes das instalações elétricas e prediais desta Organização Militar. O uso cotidiano e o desgaste natural sofrido ocasionam quebras, defeitos e risco elétrico. Fazendo-se necessário a manutenção corretiva e preventiva, a fim de manter a segurança, salubridade e o perfeito funcionamento das instalações deste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Serviço. </w:t>
      </w:r>
    </w:p>
    <w:p>
      <w:pPr>
        <w:pStyle w:val="ListParagraph"/>
        <w:numPr>
          <w:ilvl w:val="0"/>
          <w:numId w:val="0"/>
        </w:numPr>
        <w:ind w:left="179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before="240" w:after="12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ALINHAMENTO ENTRE A CONTRATAÇÃO E MISSÃO DO SVPM</w:t>
      </w:r>
    </w:p>
    <w:p>
      <w:pPr>
        <w:pStyle w:val="ListParagraph"/>
        <w:numPr>
          <w:ilvl w:val="1"/>
          <w:numId w:val="1"/>
        </w:numPr>
        <w:spacing w:lineRule="auto" w:line="240" w:before="120" w:after="20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presente contratação encontra respaldo conforme previsão no planejamento estratégico 2023 a 2024 desta Organização Militar.</w:t>
      </w:r>
    </w:p>
    <w:p>
      <w:pPr>
        <w:pStyle w:val="ListParagraph"/>
        <w:spacing w:lineRule="auto" w:line="240" w:before="120" w:after="200"/>
        <w:ind w:left="1069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120" w:after="200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REQUISITOS DA CONTRATAÇÃO:</w:t>
      </w:r>
    </w:p>
    <w:p>
      <w:pPr>
        <w:pStyle w:val="ListParagraph"/>
        <w:ind w:left="720" w:hanging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O FORNECEDOR se responsabilizará pela entrega, incluindo o transporte dos materiais, a qual deverá ser efetivada em até 30 (trinta) dias úteis após o recebimento do pedido encaminhado preferencialmente por e-mail pela Seção de Material ou Seção de Obtenção, justificando, se for o caso, por escrito, as razões que impossibilitaram o não cumprimento desta obrigação, sem prejuízo da aplicação das sanções previstas;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Após o recebimento, a Contratante terá o prazo de </w:t>
      </w:r>
      <w:r>
        <w:rPr>
          <w:rFonts w:ascii="Times New Roman" w:hAnsi="Times New Roman"/>
          <w:sz w:val="24"/>
          <w:szCs w:val="24"/>
        </w:rPr>
        <w:t>05 (cinco)</w:t>
      </w:r>
      <w:r>
        <w:rPr>
          <w:rFonts w:cs="Times New Roman" w:ascii="Times New Roman" w:hAnsi="Times New Roman"/>
          <w:sz w:val="24"/>
          <w:szCs w:val="24"/>
        </w:rPr>
        <w:t xml:space="preserve"> dias úteis para manifestação acerca do aceite final dos materiais; 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 caso de recusa do material, o FORNECEDOR deverá efetivar sua substituição no prazo de até </w:t>
      </w:r>
      <w:r>
        <w:rPr>
          <w:rFonts w:ascii="Times New Roman" w:hAnsi="Times New Roman"/>
          <w:sz w:val="24"/>
          <w:szCs w:val="24"/>
        </w:rPr>
        <w:t>05 (cinco)</w:t>
      </w:r>
      <w:r>
        <w:rPr>
          <w:rFonts w:cs="Times New Roman" w:ascii="Times New Roman" w:hAnsi="Times New Roman"/>
          <w:sz w:val="24"/>
          <w:szCs w:val="24"/>
        </w:rPr>
        <w:t xml:space="preserve"> dias úteis, contados a partir da comunicação da recusa, ficando todos os custos decorrentes da substituição às suas expensas;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Em caso de substituição do material, a Contratante terá novo prazo de </w:t>
      </w:r>
      <w:r>
        <w:rPr>
          <w:rFonts w:ascii="Times New Roman" w:hAnsi="Times New Roman"/>
          <w:sz w:val="24"/>
          <w:szCs w:val="24"/>
        </w:rPr>
        <w:t>05 (cinco)</w:t>
      </w:r>
      <w:r>
        <w:rPr>
          <w:rFonts w:cs="Times New Roman" w:ascii="Times New Roman" w:hAnsi="Times New Roman"/>
          <w:sz w:val="24"/>
          <w:szCs w:val="24"/>
        </w:rPr>
        <w:t xml:space="preserve"> dias úteis para manifestação acerta do aceite final dos novos materiais entregues; </w:t>
      </w:r>
    </w:p>
    <w:p>
      <w:pPr>
        <w:pStyle w:val="ListParagraph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FORNECEDOR deverá executar, fielmente, as entregas de acordo com as requisições expedidas, não se admitindo modificações sem prévia consulta e concordância da Contratante;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Não subcontratar o objeto do presente termo; </w:t>
      </w:r>
    </w:p>
    <w:p>
      <w:pPr>
        <w:pStyle w:val="Rodap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enter" w:pos="1276" w:leader="none"/>
          <w:tab w:val="center" w:pos="4252" w:leader="none"/>
          <w:tab w:val="right" w:pos="850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A(s) Contratada(s) se obriga(m) a executar os serviços de entrega dos materiais de acordo com os prazos e critérios estipulados, em dias, local e quantidades determinados pelo SVPM, de acordo com suas necessidades;</w:t>
      </w:r>
    </w:p>
    <w:p>
      <w:pPr>
        <w:pStyle w:val="Roda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enter" w:pos="1276" w:leader="none"/>
          <w:tab w:val="center" w:pos="4252" w:leader="none"/>
          <w:tab w:val="right" w:pos="850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Manter durante toda a execução deste objeto, em compatibilidade com as obrigações por ela assumidas, todas as condições de habilitação e qualificação exigidas no processo de contratação.</w:t>
      </w:r>
    </w:p>
    <w:p>
      <w:pPr>
        <w:pStyle w:val="Rodap"/>
        <w:numPr>
          <w:ilvl w:val="0"/>
          <w:numId w:val="0"/>
        </w:numPr>
        <w:tabs>
          <w:tab w:val="center" w:pos="1276" w:leader="none"/>
          <w:tab w:val="center" w:pos="4252" w:leader="none"/>
          <w:tab w:val="right" w:pos="8504" w:leader="none"/>
        </w:tabs>
        <w:ind w:left="1070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Rodap"/>
        <w:numPr>
          <w:ilvl w:val="1"/>
          <w:numId w:val="1"/>
        </w:numPr>
        <w:tabs>
          <w:tab w:val="center" w:pos="1276" w:leader="none"/>
          <w:tab w:val="center" w:pos="4252" w:leader="none"/>
          <w:tab w:val="right" w:pos="850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 xml:space="preserve">A Contratada é obrigada a pagar todos os tributos, contribuições fiscais que incidam ou venham a incidir, direta e indiretamente, sobre os materiais adquiridos, fornecer Nota Fiscal correspondente aos produtos comercializados, assim como se responsabilizar pelas despesas operacionais e administrativas, de mão de obra dos produtos, transporte até o local da entrega que será na sede do SVPM; </w:t>
      </w:r>
    </w:p>
    <w:p>
      <w:pPr>
        <w:pStyle w:val="Rodap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enter" w:pos="1276" w:leader="none"/>
          <w:tab w:val="center" w:pos="4252" w:leader="none"/>
          <w:tab w:val="right" w:pos="850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Responsabilizar-se por todas as obrigações trabalhistas, sociais, previdenciárias, tributárias e as demais previstas na legislação específica, cuja inadimplência não transfere responsabilidade a esta Organização Militar; 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enter" w:pos="1276" w:leader="none"/>
          <w:tab w:val="center" w:pos="4252" w:leader="none"/>
          <w:tab w:val="right" w:pos="850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Durante a execução de entrega dos produtos, a Contratada é obrigada a prestar informações sobre o andamento do mesmo, e, caso ocorra imprevistos a Contratada deverá notificar de imediato o SVPM sobre o fato, assim como as devidas medidas que serão tomadas visando à normalização da entrega dos produtos;</w:t>
      </w:r>
    </w:p>
    <w:p>
      <w:pPr>
        <w:pStyle w:val="Rodap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enter" w:pos="1276" w:leader="none"/>
          <w:tab w:val="center" w:pos="4252" w:leader="none"/>
          <w:tab w:val="right" w:pos="850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Assumir todas as responsabilidades decorrentes da avença, ressarcindo ao SVPM quaisquer prejuízos provocados por eventuais atrasos na entrega, por qualquer dano provocado pelo produto e por descumprimento de qualquer outra disposição do Termo de Referência;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lear" w:pos="4252"/>
          <w:tab w:val="clear" w:pos="8504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Nenhum dos produtos contratados poderá ser substituído por outros de outras marcas, salvo por produtos de qualidade comprovadamente superiores e mediante justificativa por escrito, devidamente fundamentada e aceita pelo SVPM, também de forma expressa;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lear" w:pos="4252"/>
          <w:tab w:val="clear" w:pos="8504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Providenciar todos os recursos e insumos necessários a perfeita execução do objeto, devendo estar incluídos no preço proposto todas as despesas com materiais, insumos, mão de obra, fretes, embalagens, seguros, impostos, taxas, tarifas, encargos sociais e trabalhistas e demais despesas necessárias à perfeita entrega dos produtos;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1"/>
          <w:numId w:val="1"/>
        </w:numPr>
        <w:tabs>
          <w:tab w:val="clear" w:pos="4252"/>
          <w:tab w:val="clear" w:pos="8504"/>
        </w:tabs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Entregar o material, acondicionado adequadamente, em invólucro lacrado, de forma a permitir completa segurança durante o transporte, acompanhado de nota fiscal ou nota fiscal/fatura, discriminado o quantitativo do produto, de acordo com as especificações técnicas.</w:t>
      </w:r>
    </w:p>
    <w:p>
      <w:pPr>
        <w:pStyle w:val="Rodap"/>
        <w:numPr>
          <w:ilvl w:val="0"/>
          <w:numId w:val="0"/>
        </w:numPr>
        <w:tabs>
          <w:tab w:val="clear" w:pos="4252"/>
          <w:tab w:val="clear" w:pos="8504"/>
        </w:tabs>
        <w:ind w:left="107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0"/>
          <w:numId w:val="0"/>
        </w:numPr>
        <w:tabs>
          <w:tab w:val="clear" w:pos="4252"/>
          <w:tab w:val="clear" w:pos="8504"/>
        </w:tabs>
        <w:ind w:left="107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0"/>
          <w:numId w:val="0"/>
        </w:numPr>
        <w:tabs>
          <w:tab w:val="clear" w:pos="4252"/>
          <w:tab w:val="clear" w:pos="8504"/>
        </w:tabs>
        <w:ind w:left="107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Rodap"/>
        <w:numPr>
          <w:ilvl w:val="0"/>
          <w:numId w:val="0"/>
        </w:numPr>
        <w:tabs>
          <w:tab w:val="clear" w:pos="4252"/>
          <w:tab w:val="clear" w:pos="8504"/>
        </w:tabs>
        <w:ind w:left="107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ESTIMATIVA DAS QUANTIDADES DE MATERIAIS</w:t>
      </w:r>
    </w:p>
    <w:p>
      <w:pPr>
        <w:pStyle w:val="ListParagraph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lineRule="auto" w:line="240" w:before="120" w:after="0"/>
        <w:ind w:left="737" w:righ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4.1 Estimativa de quantidades realizada com base histórica dos serviços n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pt-BR" w:eastAsia="en-US" w:bidi="ar-SA"/>
        </w:rPr>
        <w:t>as instalações elétricas e manutenções corretivas ou preventivas prediais, realizadas pela Seção de Elétrica n</w:t>
      </w:r>
      <w:r>
        <w:rPr>
          <w:rFonts w:cs="Times New Roman" w:ascii="Times New Roman" w:hAnsi="Times New Roman"/>
          <w:sz w:val="24"/>
          <w:szCs w:val="24"/>
        </w:rPr>
        <w:t xml:space="preserve">os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pt-BR" w:eastAsia="en-US" w:bidi="ar-SA"/>
        </w:rPr>
        <w:t>anos de 2022 e 2023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120" w:after="0"/>
        <w:ind w:left="142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12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BodyText2"/>
        <w:numPr>
          <w:ilvl w:val="0"/>
          <w:numId w:val="1"/>
        </w:numPr>
        <w:shd w:val="clear" w:color="auto" w:fill="BFBFBF" w:themeFill="background1" w:themeFillShade="bf"/>
        <w:spacing w:lineRule="auto" w:line="240"/>
        <w:jc w:val="both"/>
        <w:rPr/>
      </w:pPr>
      <w:bookmarkStart w:id="0" w:name="__DdeLink__100_4249385835"/>
      <w:r>
        <w:rPr>
          <w:b/>
          <w:sz w:val="24"/>
          <w:szCs w:val="24"/>
        </w:rPr>
        <w:t>LEVANTAMENTO DE MERCADO E JUSTIFICATIVA DO TIPO DE SOLUÇÃO A CONTRATAR</w:t>
      </w:r>
      <w:bookmarkEnd w:id="0"/>
    </w:p>
    <w:p>
      <w:pPr>
        <w:pStyle w:val="ListParagraph"/>
        <w:numPr>
          <w:ilvl w:val="1"/>
          <w:numId w:val="1"/>
        </w:numPr>
        <w:jc w:val="both"/>
        <w:rPr/>
      </w:pPr>
      <w:r>
        <w:rPr>
          <w:rFonts w:ascii="Times New Roman" w:hAnsi="Times New Roman"/>
          <w:sz w:val="24"/>
          <w:szCs w:val="24"/>
        </w:rPr>
        <w:t xml:space="preserve">Levantamento de mercado- Foram levantados os preços dos materiais de manutenção praticados pelas empresas através do site painel de preços, com a finalidade de verificar os valor de mercado e calcular a média justa e correta que possibilite o processo de sistema de registro de preços entre as empresas interessadas no fornecimento. </w:t>
      </w:r>
    </w:p>
    <w:p>
      <w:pPr>
        <w:pStyle w:val="ListParagraph"/>
        <w:numPr>
          <w:ilvl w:val="1"/>
          <w:numId w:val="1"/>
        </w:numPr>
        <w:jc w:val="both"/>
        <w:rPr/>
      </w:pPr>
      <w:r>
        <w:rPr>
          <w:rFonts w:ascii="Times New Roman" w:hAnsi="Times New Roman"/>
          <w:sz w:val="24"/>
          <w:szCs w:val="24"/>
        </w:rPr>
        <w:t>Justificativa da escolha da solução a contratar- Será adotada a opção pelo Registro de Preços, justificada pelos incisos II e III do Art. 3° do Decreto 7.892 de 23 de janeiro de 2013.</w:t>
      </w:r>
    </w:p>
    <w:p>
      <w:pPr>
        <w:pStyle w:val="ListParagraph"/>
        <w:numPr>
          <w:ilvl w:val="1"/>
          <w:numId w:val="1"/>
        </w:numPr>
        <w:jc w:val="both"/>
        <w:rPr/>
      </w:pPr>
      <w:r>
        <w:rPr>
          <w:rFonts w:ascii="Times New Roman" w:hAnsi="Times New Roman"/>
          <w:sz w:val="24"/>
          <w:szCs w:val="24"/>
        </w:rPr>
        <w:t xml:space="preserve">Os quantitativos solicitados foram 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4"/>
          <w:szCs w:val="24"/>
          <w:lang w:val="pt-BR" w:eastAsia="en-US" w:bidi="ar-SA"/>
        </w:rPr>
        <w:t>baseados nas necessidade, considerando-se uma tripulação de mais de 450 pessoas, e o prazo de vigência da Ata de Registro de Preços é de até 2 (dois) anos, conforme art. 84 da Lei 14.133/2021 “ O prazo de vigência da ata de registro de preços será de 1 (um) ano e poderá ser prorrogado, por igual período, desde que comprovado o preço vantajoso”.</w:t>
      </w:r>
    </w:p>
    <w:p>
      <w:pPr>
        <w:pStyle w:val="ListParagraph"/>
        <w:spacing w:lineRule="auto" w:line="240" w:before="0" w:after="0"/>
        <w:ind w:left="107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ESTIMATIVA DE PREÇO OU PREÇO REFERÊNCIA</w:t>
      </w:r>
    </w:p>
    <w:p>
      <w:pPr>
        <w:pStyle w:val="NormalWeb"/>
        <w:numPr>
          <w:ilvl w:val="1"/>
          <w:numId w:val="1"/>
        </w:numPr>
        <w:shd w:val="clear" w:color="auto" w:fill="FFFFFF"/>
        <w:spacing w:beforeAutospacing="0" w:before="120" w:afterAutospacing="0" w:after="0"/>
        <w:jc w:val="both"/>
        <w:textAlignment w:val="baseline"/>
        <w:rPr/>
      </w:pPr>
      <w:r>
        <w:rPr>
          <w:rFonts w:eastAsia="Calibri" w:eastAsiaTheme="minorHAnsi"/>
          <w:lang w:eastAsia="en-US"/>
        </w:rPr>
        <w:t xml:space="preserve">A estimativa é baseada na </w:t>
      </w:r>
      <w:r>
        <w:rPr>
          <w:rFonts w:eastAsia="Calibri" w:cs="Times New Roman" w:eastAsiaTheme="minorHAnsi"/>
          <w:color w:val="auto"/>
          <w:kern w:val="0"/>
          <w:sz w:val="24"/>
          <w:szCs w:val="24"/>
          <w:lang w:val="pt-BR" w:eastAsia="en-US" w:bidi="ar-SA"/>
        </w:rPr>
        <w:t xml:space="preserve">pesquisa de preços através do painel de preços ( </w:t>
      </w:r>
      <w:hyperlink r:id="rId2">
        <w:r>
          <w:rPr>
            <w:rStyle w:val="LinkdaInternet"/>
            <w:rFonts w:eastAsia="Calibri" w:cs="Times New Roman" w:eastAsiaTheme="minorHAnsi"/>
            <w:color w:val="auto"/>
            <w:kern w:val="0"/>
            <w:sz w:val="24"/>
            <w:szCs w:val="24"/>
            <w:lang w:val="pt-BR" w:eastAsia="en-US" w:bidi="ar-SA"/>
          </w:rPr>
          <w:t>https://paineldeprecos.planejamento.gov.br</w:t>
        </w:r>
      </w:hyperlink>
      <w:r>
        <w:rPr>
          <w:rFonts w:eastAsia="Calibri" w:cs="Times New Roman" w:eastAsiaTheme="minorHAnsi"/>
          <w:color w:val="auto"/>
          <w:kern w:val="0"/>
          <w:sz w:val="24"/>
          <w:szCs w:val="24"/>
          <w:lang w:val="pt-BR" w:eastAsia="en-US" w:bidi="ar-SA"/>
        </w:rPr>
        <w:t xml:space="preserve"> ), nos históricos de consumo da OM com</w:t>
      </w:r>
      <w:r>
        <w:rPr>
          <w:rFonts w:eastAsia="Calibri" w:cs="" w:cstheme="minorBidi" w:eastAsiaTheme="minorHAnsi"/>
          <w:color w:val="auto"/>
          <w:kern w:val="0"/>
          <w:sz w:val="24"/>
          <w:szCs w:val="24"/>
          <w:lang w:val="pt-BR" w:eastAsia="en-US" w:bidi="ar-SA"/>
        </w:rPr>
        <w:t xml:space="preserve"> uma tripulação de mais de 450 pessoas. Além disso</w:t>
      </w:r>
      <w:r>
        <w:rPr>
          <w:rFonts w:eastAsia="Calibri" w:cs="Times New Roman" w:eastAsiaTheme="minorHAnsi"/>
          <w:color w:val="auto"/>
          <w:kern w:val="0"/>
          <w:sz w:val="24"/>
          <w:szCs w:val="24"/>
          <w:lang w:val="pt-BR" w:eastAsia="en-US" w:bidi="ar-SA"/>
        </w:rPr>
        <w:t>, faz-se necessária a substituição de muitos materiais que hoje estão sendo utilizados na OM. Desta forma, o</w:t>
      </w:r>
      <w:r>
        <w:rPr>
          <w:rFonts w:eastAsia="Calibri" w:eastAsiaTheme="minorHAnsi"/>
          <w:lang w:eastAsia="en-US"/>
        </w:rPr>
        <w:t xml:space="preserve"> valor total é de </w:t>
      </w:r>
      <w:r>
        <w:rPr>
          <w:rFonts w:eastAsia="Calibri" w:cs="Carlito;Calibri" w:ascii="Carlito;Calibri" w:hAnsi="Carlito;Calib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en-US"/>
        </w:rPr>
        <w:t xml:space="preserve"> </w:t>
      </w:r>
      <w:r>
        <w:rPr>
          <w:rFonts w:eastAsia="Calibri" w:cs="Calibri"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en-US"/>
        </w:rPr>
        <w:t xml:space="preserve"> </w:t>
      </w:r>
      <w:r>
        <w:rPr>
          <w:rFonts w:eastAsia="Calibri" w:cs="Calibri"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eastAsia="en-US"/>
        </w:rPr>
        <w:t>R$</w:t>
      </w:r>
      <w:r>
        <w:rPr>
          <w:rFonts w:eastAsia="Calibri" w:cs="Calibri" w:ascii="Calibri" w:hAnsi="Calibri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eastAsia="en-US"/>
        </w:rPr>
        <w:t xml:space="preserve"> 497.043,84 (quatrocentos e noventa e sete mil e quarenta e tr</w:t>
      </w:r>
      <w:r>
        <w:rPr>
          <w:rFonts w:eastAsia="Calibri" w:cs="Calibri" w:ascii="Calibri" w:hAnsi="Calibri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pt-BR" w:eastAsia="en-US" w:bidi="ar-SA"/>
        </w:rPr>
        <w:t>ês reais e oitenta e quatro centavos)</w:t>
      </w:r>
      <w:r>
        <w:rPr>
          <w:rFonts w:eastAsia="Calibri" w:cs="Calibri" w:ascii="Calibri" w:hAnsi="Calibri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eastAsia="en-US"/>
        </w:rPr>
        <w:t>.</w:t>
      </w:r>
    </w:p>
    <w:p>
      <w:pPr>
        <w:pStyle w:val="NormalWeb"/>
        <w:numPr>
          <w:ilvl w:val="0"/>
          <w:numId w:val="0"/>
        </w:numPr>
        <w:shd w:val="clear" w:color="auto" w:fill="FFFFFF"/>
        <w:spacing w:beforeAutospacing="0" w:before="120" w:afterAutospacing="0" w:after="0"/>
        <w:ind w:left="1070" w:hanging="0"/>
        <w:jc w:val="both"/>
        <w:textAlignment w:val="baseline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DESCRIÇÃO DA SOLUÇÃO COMO UM TODO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Aquisição de materiais elétricos e de manutenção predial para o atendimento das demandas e rotinas administrativas do SVPM;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A opção da </w:t>
      </w:r>
      <w:r>
        <w:rPr>
          <w:rFonts w:cs="Times New Roman" w:ascii="Times New Roman" w:hAnsi="Times New Roman"/>
          <w:sz w:val="24"/>
          <w:szCs w:val="24"/>
          <w:u w:val="single"/>
        </w:rPr>
        <w:t>entrega por demanda</w:t>
      </w:r>
      <w:r>
        <w:rPr>
          <w:rFonts w:cs="Times New Roman" w:ascii="Times New Roman" w:hAnsi="Times New Roman"/>
          <w:sz w:val="24"/>
          <w:szCs w:val="24"/>
        </w:rPr>
        <w:t>, visa planejar a intenção de se adquirir o produto, de forma parcelada, quando houver necessidade por se tratar de material de consumo que não se pode precisar com exatidão, o quantitativo a ser consumido. Além disso, o Almoxarifado não dispõe de espaço físico suficiente para armazenar todo o quantitativo dos materiais.</w:t>
      </w:r>
    </w:p>
    <w:p>
      <w:pPr>
        <w:pStyle w:val="ListParagraph"/>
        <w:spacing w:lineRule="auto" w:line="240" w:before="0" w:after="0"/>
        <w:ind w:left="107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JUSTIFICATIVA DOS RESULTADOS PRETENDIDOS 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Atender por completo as demandas de materiais referentes às rotinas administrativas do SVPM, para o bom funcionamento e atendimento aos usuários.</w:t>
      </w:r>
    </w:p>
    <w:p>
      <w:pPr>
        <w:pStyle w:val="ListParagraph"/>
        <w:spacing w:lineRule="auto" w:line="240" w:before="0" w:after="0"/>
        <w:ind w:left="720" w:hanging="0"/>
        <w:contextualSpacing/>
        <w:jc w:val="both"/>
        <w:rPr/>
      </w:pPr>
      <w:r>
        <w:rPr/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179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BFBFBF" w:themeFill="background1" w:themeFillShade="bf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PROVIDÊNCIAS PARA ADEQUAÇÃO DO AMBIENTE DO ÓRGÃO</w:t>
      </w:r>
    </w:p>
    <w:p>
      <w:pPr>
        <w:pStyle w:val="BodyText2"/>
        <w:numPr>
          <w:ilvl w:val="0"/>
          <w:numId w:val="0"/>
        </w:numPr>
        <w:shd w:val="clear" w:color="auto" w:fill="FFFFFF"/>
        <w:spacing w:lineRule="auto" w:line="240" w:before="120" w:after="200"/>
        <w:ind w:left="0" w:hanging="0"/>
        <w:jc w:val="both"/>
        <w:rPr/>
      </w:pPr>
      <w:r>
        <w:rPr>
          <w:sz w:val="24"/>
          <w:szCs w:val="24"/>
        </w:rPr>
        <w:tab/>
        <w:t xml:space="preserve"> 9.1.Nesta contratação, não há a necessidade do SVPM dispor de adequações para as aquisições que são objeto deste Estudo.</w:t>
      </w:r>
    </w:p>
    <w:p>
      <w:pPr>
        <w:pStyle w:val="BodyText2"/>
        <w:numPr>
          <w:ilvl w:val="0"/>
          <w:numId w:val="0"/>
        </w:numPr>
        <w:shd w:val="clear" w:color="auto" w:fill="FFFFFF"/>
        <w:spacing w:lineRule="auto" w:line="240" w:before="120" w:after="20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2"/>
        <w:shd w:val="clear" w:color="auto" w:fill="BFBFBF" w:themeFill="background1" w:themeFillShade="bf"/>
        <w:spacing w:lineRule="auto" w:line="240" w:before="120" w:after="200"/>
        <w:jc w:val="both"/>
        <w:rPr/>
      </w:pPr>
      <w:r>
        <w:rPr>
          <w:b/>
          <w:sz w:val="24"/>
          <w:szCs w:val="24"/>
        </w:rPr>
        <w:t>10 .DECLARAÇÃO DE VIABILIDADE DA CONTRATAÇÃO</w:t>
      </w:r>
    </w:p>
    <w:p>
      <w:pPr>
        <w:pStyle w:val="BodyText2"/>
        <w:numPr>
          <w:ilvl w:val="0"/>
          <w:numId w:val="0"/>
        </w:numPr>
        <w:shd w:val="clear" w:color="auto" w:fill="FFFFFF"/>
        <w:spacing w:lineRule="auto" w:line="240" w:before="120" w:after="200"/>
        <w:ind w:left="0" w:hanging="0"/>
        <w:jc w:val="both"/>
        <w:rPr/>
      </w:pPr>
      <w:r>
        <w:rPr>
          <w:sz w:val="24"/>
          <w:szCs w:val="24"/>
        </w:rPr>
        <w:tab/>
        <w:t xml:space="preserve"> 10.1. Declara esta Equipe de Planejamento que a contratação pretendida é viável, </w:t>
      </w:r>
      <w:r>
        <w:rPr>
          <w:bCs/>
          <w:sz w:val="24"/>
          <w:szCs w:val="24"/>
        </w:rPr>
        <w:t>e tendo em vista que os estudos preliminares evidenciam que a aquisição mostra-se possível tecnicamente e fundamentalmente necessária.</w:t>
      </w:r>
    </w:p>
    <w:p>
      <w:pPr>
        <w:pStyle w:val="BodyText2"/>
        <w:numPr>
          <w:ilvl w:val="0"/>
          <w:numId w:val="0"/>
        </w:numPr>
        <w:shd w:val="clear" w:color="auto" w:fill="FFFFFF"/>
        <w:spacing w:lineRule="auto" w:line="240" w:before="120" w:after="200"/>
        <w:ind w:left="0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ivel1"/>
        <w:numPr>
          <w:ilvl w:val="0"/>
          <w:numId w:val="0"/>
        </w:numPr>
        <w:spacing w:before="120" w:after="200"/>
        <w:ind w:left="0" w:hanging="0"/>
        <w:rPr/>
      </w:pPr>
      <w:r>
        <w:rPr>
          <w:rFonts w:eastAsia="Times New Roman" w:cs="Times New Roman" w:ascii="Times New Roman" w:hAnsi="Times New Roman"/>
          <w:b w:val="false"/>
          <w:color w:val="auto"/>
          <w:sz w:val="24"/>
          <w:szCs w:val="24"/>
        </w:rPr>
        <w:t>Membros da Equipe de Planejamento da Contratação</w:t>
      </w:r>
      <w:r>
        <w:rPr>
          <w:rFonts w:eastAsia="Times New Roman"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lineRule="auto" w:line="240" w:before="0" w:after="0"/>
        <w:ind w:left="-6" w:right="-17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ind w:left="-6" w:right="-17" w:hanging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Rio de Janeiro,       de outurbo de 2024.</w:t>
      </w:r>
    </w:p>
    <w:p>
      <w:pPr>
        <w:pStyle w:val="Normal"/>
        <w:spacing w:lineRule="auto" w:line="240" w:before="0" w:after="0"/>
        <w:ind w:left="-6" w:right="-17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before="0" w:after="0"/>
        <w:jc w:val="center"/>
        <w:rPr>
          <w:b w:val="false"/>
          <w:b w:val="false"/>
          <w:bCs w:val="false"/>
          <w:szCs w:val="20"/>
          <w:lang w:eastAsia="pt-BR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0"/>
          <w:lang w:val="pt-BR" w:eastAsia="pt-BR" w:bidi="ar-SA"/>
        </w:rPr>
        <w:t>LINDOMAR PEREIRA JORGE</w:t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before="0" w:after="0"/>
        <w:jc w:val="center"/>
        <w:rPr>
          <w:szCs w:val="20"/>
          <w:lang w:eastAsia="pt-BR"/>
        </w:rPr>
      </w:pPr>
      <w:r>
        <w:rPr>
          <w:rFonts w:cs="Times New Roman" w:ascii="Times New Roman" w:hAnsi="Times New Roman"/>
          <w:sz w:val="24"/>
          <w:szCs w:val="20"/>
          <w:lang w:eastAsia="pt-BR"/>
        </w:rPr>
        <w:t xml:space="preserve"> </w:t>
      </w:r>
      <w:r>
        <w:rPr>
          <w:rFonts w:cs="Times New Roman" w:ascii="Times New Roman" w:hAnsi="Times New Roman"/>
          <w:sz w:val="24"/>
          <w:szCs w:val="20"/>
          <w:lang w:eastAsia="pt-BR"/>
        </w:rPr>
        <w:t>Primeiro-Sargento (EL)</w:t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lineRule="auto" w:line="240" w:before="0" w:after="0"/>
        <w:ind w:left="-6" w:right="-17" w:hanging="0"/>
        <w:contextualSpacing/>
        <w:jc w:val="center"/>
        <w:rPr>
          <w:szCs w:val="20"/>
          <w:lang w:eastAsia="pt-BR"/>
        </w:rPr>
      </w:pPr>
      <w:r>
        <w:rPr>
          <w:rFonts w:eastAsia="MS Mincho" w:cs="Times New Roman" w:ascii="Times New Roman" w:hAnsi="Times New Roman"/>
          <w:bCs/>
          <w:sz w:val="24"/>
          <w:szCs w:val="24"/>
          <w:u w:val="none"/>
          <w:lang w:eastAsia="ja-JP"/>
        </w:rPr>
        <w:t xml:space="preserve"> </w:t>
      </w:r>
      <w:r>
        <w:rPr>
          <w:rFonts w:eastAsia="MS Mincho" w:cs="Times New Roman" w:ascii="Times New Roman" w:hAnsi="Times New Roman"/>
          <w:bCs/>
          <w:color w:val="auto"/>
          <w:kern w:val="0"/>
          <w:sz w:val="24"/>
          <w:szCs w:val="24"/>
          <w:u w:val="none"/>
          <w:lang w:val="pt-BR" w:eastAsia="ja-JP" w:bidi="ar-SA"/>
        </w:rPr>
        <w:t>Supervisor Eletricista</w:t>
      </w:r>
    </w:p>
    <w:tbl>
      <w:tblPr>
        <w:tblW w:w="2715" w:type="dxa"/>
        <w:jc w:val="left"/>
        <w:tblInd w:w="36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5"/>
      </w:tblGrid>
      <w:tr>
        <w:trPr>
          <w:trHeight w:val="450" w:hRule="atLeast"/>
        </w:trPr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before="0" w:after="0"/>
              <w:contextualSpacing/>
              <w:jc w:val="center"/>
              <w:rPr>
                <w:rFonts w:ascii="Times New Roman" w:hAnsi="Times New Roman" w:cs="Carlito;Calibri"/>
                <w:sz w:val="20"/>
                <w:szCs w:val="20"/>
              </w:rPr>
            </w:pPr>
            <w:r>
              <w:rPr>
                <w:rFonts w:cs="Carlito;Calibri" w:ascii="Times New Roman" w:hAnsi="Times New Roman"/>
                <w:sz w:val="20"/>
                <w:szCs w:val="20"/>
              </w:rPr>
              <w:t>ASSINADO DIGITALMENTE</w:t>
            </w:r>
          </w:p>
        </w:tc>
      </w:tr>
    </w:tbl>
    <w:p>
      <w:pPr>
        <w:pStyle w:val="Normal"/>
        <w:widowControl w:val="false"/>
        <w:tabs>
          <w:tab w:val="clear" w:pos="624"/>
          <w:tab w:val="left" w:pos="1276" w:leader="none"/>
        </w:tabs>
        <w:spacing w:lineRule="auto" w:line="240" w:before="0" w:after="0"/>
        <w:ind w:left="-6" w:right="-17" w:hanging="0"/>
        <w:contextualSpacing/>
        <w:jc w:val="center"/>
        <w:rPr>
          <w:rFonts w:ascii="Times New Roman" w:hAnsi="Times New Roman" w:eastAsia="Times New Roman" w:cs="Carlito;Calibri"/>
          <w:sz w:val="24"/>
          <w:szCs w:val="24"/>
          <w:lang w:eastAsia="pt-BR"/>
        </w:rPr>
      </w:pPr>
      <w:r>
        <w:rPr>
          <w:rFonts w:eastAsia="Times New Roman" w:cs="Carlito;Calibri" w:ascii="Times New Roman" w:hAnsi="Times New Roman"/>
          <w:sz w:val="24"/>
          <w:szCs w:val="24"/>
          <w:lang w:eastAsia="pt-BR"/>
        </w:rPr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lineRule="auto" w:line="240" w:before="0" w:after="200"/>
        <w:ind w:left="-6" w:right="-17" w:hanging="0"/>
        <w:jc w:val="center"/>
        <w:rPr>
          <w:szCs w:val="20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lineRule="auto" w:line="240" w:before="0" w:after="200"/>
        <w:ind w:left="-6" w:right="-17" w:hanging="0"/>
        <w:jc w:val="center"/>
        <w:rPr>
          <w:szCs w:val="20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before="0" w:after="0"/>
        <w:contextualSpacing/>
        <w:jc w:val="center"/>
        <w:rPr/>
      </w:pPr>
      <w:r>
        <w:rPr>
          <w:rFonts w:cs="Times New Roman" w:ascii="Times New Roman" w:hAnsi="Times New Roman"/>
          <w:strike w:val="false"/>
          <w:dstrike w:val="false"/>
          <w:sz w:val="24"/>
          <w:szCs w:val="20"/>
          <w:u w:val="none"/>
          <w:lang w:eastAsia="pt-BR"/>
        </w:rPr>
        <w:t>TIAGO ARAÚJO ESPINELO</w:t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before="0" w:after="0"/>
        <w:contextualSpacing/>
        <w:jc w:val="center"/>
        <w:rPr/>
      </w:pPr>
      <w:r>
        <w:rPr>
          <w:rFonts w:cs="Times New Roman" w:ascii="Times New Roman" w:hAnsi="Times New Roman"/>
          <w:strike w:val="false"/>
          <w:dstrike w:val="false"/>
          <w:sz w:val="24"/>
          <w:szCs w:val="20"/>
          <w:u w:val="none"/>
          <w:lang w:eastAsia="pt-BR"/>
        </w:rPr>
        <w:t>Segundo-Sargento (EL)</w:t>
      </w:r>
    </w:p>
    <w:p>
      <w:pPr>
        <w:pStyle w:val="Normal"/>
        <w:widowControl w:val="false"/>
        <w:tabs>
          <w:tab w:val="clear" w:pos="624"/>
          <w:tab w:val="left" w:pos="1276" w:leader="none"/>
        </w:tabs>
        <w:spacing w:lineRule="auto" w:line="240" w:before="0" w:after="0"/>
        <w:ind w:left="-6" w:right="-17" w:hanging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MS Mincho" w:cs="Times New Roman" w:ascii="Times New Roman" w:hAnsi="Times New Roman"/>
          <w:b w:val="false"/>
          <w:bCs w:val="false"/>
          <w:strike w:val="false"/>
          <w:dstrike w:val="false"/>
          <w:color w:val="auto"/>
          <w:kern w:val="0"/>
          <w:sz w:val="24"/>
          <w:szCs w:val="24"/>
          <w:u w:val="none"/>
          <w:lang w:val="pt-BR" w:eastAsia="ja-JP" w:bidi="ar-SA"/>
        </w:rPr>
        <w:t>Auxiliar da Elétrica</w:t>
      </w:r>
    </w:p>
    <w:tbl>
      <w:tblPr>
        <w:tblW w:w="2715" w:type="dxa"/>
        <w:jc w:val="left"/>
        <w:tblInd w:w="36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5"/>
      </w:tblGrid>
      <w:tr>
        <w:trPr>
          <w:trHeight w:val="450" w:hRule="atLeast"/>
        </w:trPr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before="0" w:after="0"/>
              <w:contextualSpacing/>
              <w:jc w:val="center"/>
              <w:rPr>
                <w:rFonts w:ascii="Times New Roman" w:hAnsi="Times New Roman" w:cs="Carlito;Calibri"/>
                <w:sz w:val="20"/>
                <w:szCs w:val="20"/>
              </w:rPr>
            </w:pPr>
            <w:r>
              <w:rPr>
                <w:rFonts w:cs="Carlito;Calibri" w:ascii="Times New Roman" w:hAnsi="Times New Roman"/>
                <w:sz w:val="20"/>
                <w:szCs w:val="20"/>
              </w:rPr>
              <w:t>ASSINADO DIGITALMENTE</w:t>
            </w:r>
          </w:p>
        </w:tc>
      </w:tr>
    </w:tbl>
    <w:p>
      <w:pPr>
        <w:pStyle w:val="Normal"/>
        <w:widowControl w:val="false"/>
        <w:tabs>
          <w:tab w:val="clear" w:pos="624"/>
          <w:tab w:val="left" w:pos="1276" w:leader="none"/>
        </w:tabs>
        <w:spacing w:lineRule="auto" w:line="240" w:before="0" w:after="0"/>
        <w:ind w:left="-6" w:right="-17" w:hanging="0"/>
        <w:contextualSpacing/>
        <w:jc w:val="center"/>
        <w:rPr>
          <w:rFonts w:ascii="Times New Roman" w:hAnsi="Times New Roman" w:eastAsia="Times New Roman" w:cs="Carlito;Calibri"/>
          <w:sz w:val="24"/>
          <w:szCs w:val="24"/>
          <w:lang w:eastAsia="pt-BR"/>
        </w:rPr>
      </w:pPr>
      <w:r>
        <w:rPr>
          <w:rFonts w:eastAsia="Times New Roman" w:cs="Carlito;Calibri" w:ascii="Times New Roman" w:hAnsi="Times New Roman"/>
          <w:sz w:val="24"/>
          <w:szCs w:val="24"/>
          <w:lang w:eastAsia="pt-BR"/>
        </w:rPr>
      </w:r>
    </w:p>
    <w:p>
      <w:pPr>
        <w:pStyle w:val="BodyText2"/>
        <w:widowControl/>
        <w:shd w:val="clear" w:color="auto" w:fill="BFBFBF" w:themeFill="background1" w:themeFillShade="bf"/>
        <w:tabs>
          <w:tab w:val="clear" w:pos="624"/>
          <w:tab w:val="left" w:pos="567" w:leader="none"/>
          <w:tab w:val="left" w:pos="1260" w:leader="none"/>
        </w:tabs>
        <w:bidi w:val="0"/>
        <w:spacing w:lineRule="auto" w:line="240" w:before="120" w:after="200"/>
        <w:ind w:left="0" w:right="0" w:hanging="0"/>
        <w:jc w:val="both"/>
        <w:rPr/>
      </w:pPr>
      <w:r>
        <w:rPr>
          <w:rStyle w:val="Fontepargpadro"/>
          <w:rFonts w:cs="Times New Roman" w:ascii="Calibri" w:hAnsi="Calibri" w:asciiTheme="minorHAnsi" w:hAnsiTheme="minorHAnsi"/>
          <w:b/>
          <w:bCs/>
          <w:sz w:val="24"/>
          <w:szCs w:val="24"/>
        </w:rPr>
        <w:t>11 .ATO DE APROVAÇÃO</w:t>
      </w:r>
    </w:p>
    <w:p>
      <w:pPr>
        <w:pStyle w:val="Normal"/>
        <w:jc w:val="both"/>
        <w:rPr/>
      </w:pPr>
      <w:r>
        <w:rPr>
          <w:rStyle w:val="Fontepargpadro"/>
          <w:rFonts w:cs="Times New Roman"/>
          <w:b/>
          <w:sz w:val="24"/>
          <w:szCs w:val="24"/>
        </w:rPr>
        <w:t xml:space="preserve">7.1 – </w:t>
      </w:r>
      <w:r>
        <w:rPr>
          <w:rStyle w:val="Fontepargpadro"/>
          <w:rFonts w:cs="Times New Roman" w:ascii="Carlito" w:hAnsi="Carlito"/>
          <w:sz w:val="24"/>
          <w:szCs w:val="24"/>
        </w:rPr>
        <w:t xml:space="preserve">Aprovo o presente Estudo Técnico de acordo com o inciso I do Artigo 8º do Decreto nº 10.024/2019, cuja finalidade é subsidiar os licitantes de todas as informações necessárias  ao certame para o pregão </w:t>
      </w:r>
      <w:r>
        <w:rPr>
          <w:rStyle w:val="Fontepargpadro"/>
          <w:rFonts w:cs="Times New Roman" w:ascii="Carlito" w:hAnsi="Carlito"/>
          <w:color w:val="000000"/>
          <w:sz w:val="24"/>
          <w:szCs w:val="24"/>
        </w:rPr>
        <w:t>de eventual aquisição de material para as manutenções preventivas e corretivas dos sistemas elétricos, visando atender o Serviço de Veteranos e Pensionistas da Marinha (SVPM), estando presentes os elementos necessários a identificação do objeto, seu custo e todos os critérios de forma clara e concisa.</w:t>
      </w:r>
    </w:p>
    <w:p>
      <w:pPr>
        <w:pStyle w:val="Normal"/>
        <w:tabs>
          <w:tab w:val="clear" w:pos="624"/>
        </w:tabs>
        <w:ind w:left="0" w:right="0" w:hanging="0"/>
        <w:jc w:val="right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624"/>
        </w:tabs>
        <w:ind w:left="0" w:right="0" w:hanging="0"/>
        <w:jc w:val="right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Rio de Janeiro, RJ, em          de outubro de 2024.</w:t>
      </w:r>
    </w:p>
    <w:p>
      <w:pPr>
        <w:pStyle w:val="Normal"/>
        <w:tabs>
          <w:tab w:val="clear" w:pos="624"/>
        </w:tabs>
        <w:snapToGrid w:val="false"/>
        <w:ind w:left="5387" w:right="0" w:hanging="0"/>
        <w:jc w:val="center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624"/>
        </w:tabs>
        <w:snapToGrid w:val="false"/>
        <w:ind w:left="0" w:right="0" w:hanging="0"/>
        <w:jc w:val="center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624"/>
        </w:tabs>
        <w:snapToGrid w:val="false"/>
        <w:spacing w:lineRule="auto" w:line="240" w:before="0" w:after="0"/>
        <w:ind w:left="0" w:right="0" w:hanging="0"/>
        <w:jc w:val="center"/>
        <w:rPr/>
      </w:pPr>
      <w:r>
        <w:rPr>
          <w:rStyle w:val="Fontepargpadro"/>
          <w:rFonts w:eastAsia="Times New Roman" w:cs="Arial" w:ascii="Carlito" w:hAnsi="Carlit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pt-PT" w:eastAsia="pt-PT" w:bidi="ar-SA"/>
        </w:rPr>
        <w:t>CARLOS ALBERTO FERREIRA DA ROCHA</w:t>
      </w:r>
    </w:p>
    <w:p>
      <w:pPr>
        <w:pStyle w:val="Normal"/>
        <w:tabs>
          <w:tab w:val="clear" w:pos="624"/>
        </w:tabs>
        <w:spacing w:lineRule="auto" w:line="240" w:before="0" w:after="0"/>
        <w:ind w:left="0" w:right="0" w:hanging="0"/>
        <w:jc w:val="center"/>
        <w:rPr/>
      </w:pPr>
      <w:r>
        <w:rPr>
          <w:rStyle w:val="Fontepargpadro"/>
          <w:rFonts w:cs="Times New Roman"/>
          <w:sz w:val="24"/>
          <w:szCs w:val="24"/>
        </w:rPr>
        <w:t>Capitão de Mar e Guerra (Ref°-IM)</w:t>
      </w:r>
    </w:p>
    <w:p>
      <w:pPr>
        <w:pStyle w:val="Normal"/>
        <w:tabs>
          <w:tab w:val="clear" w:pos="624"/>
        </w:tabs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Style w:val="Fontepargpadro"/>
          <w:rFonts w:cs="Times New Roman"/>
          <w:sz w:val="24"/>
          <w:szCs w:val="24"/>
        </w:rPr>
        <w:t>Ordenador de Despesas da Administração</w:t>
      </w:r>
    </w:p>
    <w:tbl>
      <w:tblPr>
        <w:tblW w:w="2715" w:type="dxa"/>
        <w:jc w:val="left"/>
        <w:tblInd w:w="36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5"/>
      </w:tblGrid>
      <w:tr>
        <w:trPr>
          <w:trHeight w:val="450" w:hRule="atLeast"/>
        </w:trPr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before="0" w:after="0"/>
              <w:contextualSpacing/>
              <w:jc w:val="center"/>
              <w:rPr>
                <w:rFonts w:ascii="Times New Roman" w:hAnsi="Times New Roman" w:cs="Carlito;Calibri"/>
                <w:sz w:val="20"/>
                <w:szCs w:val="20"/>
              </w:rPr>
            </w:pPr>
            <w:r>
              <w:rPr>
                <w:rFonts w:cs="Carlito;Calibri" w:ascii="Times New Roman" w:hAnsi="Times New Roman"/>
                <w:sz w:val="20"/>
                <w:szCs w:val="20"/>
              </w:rPr>
              <w:t>ASSINADO DIGITALMENTE</w:t>
            </w:r>
          </w:p>
        </w:tc>
      </w:tr>
    </w:tbl>
    <w:p>
      <w:pPr>
        <w:pStyle w:val="Normal"/>
        <w:tabs>
          <w:tab w:val="clear" w:pos="624"/>
        </w:tabs>
        <w:spacing w:lineRule="auto" w:line="240" w:before="0" w:after="0"/>
        <w:ind w:left="0" w:right="0" w:hanging="0"/>
        <w:jc w:val="center"/>
        <w:rPr>
          <w:rStyle w:val="Fontepargpadro"/>
          <w:rFonts w:ascii="Times New Roman" w:hAnsi="Times New Roman" w:eastAsia="Times New Roman" w:cs="Carlito;Calibri"/>
          <w:sz w:val="24"/>
          <w:szCs w:val="24"/>
          <w:lang w:eastAsia="pt-BR"/>
        </w:rPr>
      </w:pPr>
      <w:r>
        <w:rPr/>
      </w:r>
    </w:p>
    <w:sectPr>
      <w:headerReference w:type="default" r:id="rId3"/>
      <w:type w:val="nextPage"/>
      <w:pgSz w:w="11906" w:h="16838"/>
      <w:pgMar w:left="1134" w:right="1134" w:gutter="0" w:header="708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rlito">
    <w:altName w:val="Calibri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sz w:val="24"/>
        <w:b w:val="false"/>
        <w:szCs w:val="24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34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12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624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7431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6752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050c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tuloTRChar" w:customStyle="1">
    <w:name w:val="Subtítulo TR Char"/>
    <w:basedOn w:val="DefaultParagraphFont"/>
    <w:link w:val="SubttuloTR"/>
    <w:qFormat/>
    <w:rsid w:val="001a145d"/>
    <w:rPr>
      <w:rFonts w:ascii="Times New Roman" w:hAnsi="Times New Roman" w:eastAsia="MS Mincho"/>
      <w:b/>
      <w:color w:val="000000"/>
      <w:sz w:val="24"/>
      <w:szCs w:val="24"/>
      <w:lang w:eastAsia="ja-JP"/>
    </w:rPr>
  </w:style>
  <w:style w:type="character" w:styleId="LinkdaInternet">
    <w:name w:val="Link da Internet"/>
    <w:basedOn w:val="DefaultParagraphFont"/>
    <w:uiPriority w:val="99"/>
    <w:unhideWhenUsed/>
    <w:rsid w:val="00031051"/>
    <w:rPr>
      <w:color w:val="0000FF" w:themeColor="hyperlink"/>
      <w:u w:val="single"/>
    </w:rPr>
  </w:style>
  <w:style w:type="character" w:styleId="Ttulo1Char" w:customStyle="1">
    <w:name w:val="Título 1 Char"/>
    <w:basedOn w:val="DefaultParagraphFont"/>
    <w:uiPriority w:val="9"/>
    <w:qFormat/>
    <w:rsid w:val="00467520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rong">
    <w:name w:val="Strong"/>
    <w:qFormat/>
    <w:rPr>
      <w:b/>
      <w:b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f3704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semiHidden/>
    <w:qFormat/>
    <w:rsid w:val="002f3704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sid w:val="002f3704"/>
    <w:rPr>
      <w:b/>
      <w:bCs/>
      <w:sz w:val="20"/>
      <w:szCs w:val="20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2f3704"/>
    <w:rPr>
      <w:rFonts w:ascii="Tahoma" w:hAnsi="Tahoma" w:cs="Tahoma"/>
      <w:sz w:val="16"/>
      <w:szCs w:val="16"/>
    </w:rPr>
  </w:style>
  <w:style w:type="character" w:styleId="CitaoChar" w:customStyle="1">
    <w:name w:val="Citação Char"/>
    <w:basedOn w:val="DefaultParagraphFont"/>
    <w:uiPriority w:val="29"/>
    <w:qFormat/>
    <w:rsid w:val="00e3762e"/>
    <w:rPr>
      <w:rFonts w:ascii="Arial" w:hAnsi="Arial" w:eastAsia="Calibri" w:cs="Times New Roman"/>
      <w:i/>
      <w:iCs/>
      <w:color w:val="000000"/>
      <w:sz w:val="20"/>
      <w:szCs w:val="24"/>
      <w:shd w:fill="FFFFCC" w:val="clear"/>
    </w:rPr>
  </w:style>
  <w:style w:type="character" w:styleId="Linkdainternetvisitado">
    <w:name w:val="Link da internet visitado"/>
    <w:basedOn w:val="DefaultParagraphFont"/>
    <w:uiPriority w:val="99"/>
    <w:semiHidden/>
    <w:unhideWhenUsed/>
    <w:qFormat/>
    <w:rsid w:val="00ba2fbe"/>
    <w:rPr>
      <w:color w:val="800080" w:themeColor="followedHyperlink"/>
      <w:u w:val="single"/>
    </w:rPr>
  </w:style>
  <w:style w:type="character" w:styleId="RecuodecorpodetextoChar" w:customStyle="1">
    <w:name w:val="Recuo de corpo de texto Char"/>
    <w:basedOn w:val="DefaultParagraphFont"/>
    <w:uiPriority w:val="99"/>
    <w:qFormat/>
    <w:rsid w:val="00ef1c22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PargrafodaListaChar" w:customStyle="1">
    <w:name w:val="Parágrafo da Lista Char"/>
    <w:uiPriority w:val="34"/>
    <w:qFormat/>
    <w:locked/>
    <w:rsid w:val="00ef1c22"/>
    <w:rPr/>
  </w:style>
  <w:style w:type="character" w:styleId="CabealhoChar" w:customStyle="1">
    <w:name w:val="Cabeçalho Char"/>
    <w:basedOn w:val="DefaultParagraphFont"/>
    <w:qFormat/>
    <w:rsid w:val="00d44cfb"/>
    <w:rPr>
      <w:rFonts w:ascii="Arial" w:hAnsi="Arial" w:eastAsia="Times New Roman" w:cs="Tahoma"/>
      <w:sz w:val="20"/>
      <w:szCs w:val="24"/>
      <w:lang w:eastAsia="pt-BR"/>
    </w:rPr>
  </w:style>
  <w:style w:type="character" w:styleId="Ttulo3Char" w:customStyle="1">
    <w:name w:val="Título 3 Char"/>
    <w:basedOn w:val="DefaultParagraphFont"/>
    <w:uiPriority w:val="9"/>
    <w:semiHidden/>
    <w:qFormat/>
    <w:rsid w:val="0002050c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RodapChar" w:customStyle="1">
    <w:name w:val="Rodapé Char"/>
    <w:basedOn w:val="DefaultParagraphFont"/>
    <w:qFormat/>
    <w:rsid w:val="00482012"/>
    <w:rPr/>
  </w:style>
  <w:style w:type="character" w:styleId="Recuodecorpodetexto3Char" w:customStyle="1">
    <w:name w:val="Recuo de corpo de texto 3 Char"/>
    <w:basedOn w:val="DefaultParagraphFont"/>
    <w:qFormat/>
    <w:rsid w:val="00396f25"/>
    <w:rPr>
      <w:rFonts w:ascii="Arial" w:hAnsi="Arial" w:eastAsia="Times New Roman" w:cs="Tahoma"/>
      <w:sz w:val="16"/>
      <w:szCs w:val="16"/>
      <w:lang w:eastAsia="pt-BR"/>
    </w:rPr>
  </w:style>
  <w:style w:type="character" w:styleId="Corpodetexto2Char" w:customStyle="1">
    <w:name w:val="Corpo de texto 2 Char"/>
    <w:basedOn w:val="DefaultParagraphFont"/>
    <w:qFormat/>
    <w:rsid w:val="0077625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CorpodetextoChar" w:customStyle="1">
    <w:name w:val="Corpo de texto Char"/>
    <w:basedOn w:val="DefaultParagraphFont"/>
    <w:uiPriority w:val="99"/>
    <w:qFormat/>
    <w:rsid w:val="00e92678"/>
    <w:rPr/>
  </w:style>
  <w:style w:type="character" w:styleId="Fontepargpadro">
    <w:name w:val="Fonte parág. padrão"/>
    <w:qFormat/>
    <w:rPr/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e92678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SubttuloTR" w:customStyle="1">
    <w:name w:val="Subtítulo TR"/>
    <w:basedOn w:val="Normal"/>
    <w:next w:val="Normal"/>
    <w:link w:val="SubttuloTRChar"/>
    <w:qFormat/>
    <w:rsid w:val="001a145d"/>
    <w:pPr>
      <w:spacing w:lineRule="auto" w:line="240" w:before="240" w:after="240"/>
      <w:jc w:val="both"/>
    </w:pPr>
    <w:rPr>
      <w:rFonts w:ascii="Times New Roman" w:hAnsi="Times New Roman" w:eastAsia="MS Mincho"/>
      <w:b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link w:val="PargrafodaListaChar"/>
    <w:uiPriority w:val="99"/>
    <w:qFormat/>
    <w:rsid w:val="00c0110c"/>
    <w:pPr>
      <w:spacing w:before="0" w:after="200"/>
      <w:ind w:left="720" w:hanging="0"/>
      <w:contextualSpacing/>
    </w:pPr>
    <w:rPr/>
  </w:style>
  <w:style w:type="paragraph" w:styleId="Nivel1" w:customStyle="1">
    <w:name w:val="Nivel1"/>
    <w:basedOn w:val="Ttulo1"/>
    <w:next w:val="Normal"/>
    <w:qFormat/>
    <w:rsid w:val="00467520"/>
    <w:pPr>
      <w:spacing w:before="480" w:after="120"/>
      <w:jc w:val="both"/>
    </w:pPr>
    <w:rPr>
      <w:rFonts w:ascii="Arial" w:hAnsi="Arial"/>
      <w:bCs w:val="false"/>
      <w:color w:val="000000" w:themeColor="accent1" w:themeShade="bf"/>
      <w:lang w:eastAsia="pt-BR"/>
    </w:rPr>
  </w:style>
  <w:style w:type="paragraph" w:styleId="NormalWeb">
    <w:name w:val="Normal (Web)"/>
    <w:basedOn w:val="Normal"/>
    <w:uiPriority w:val="99"/>
    <w:unhideWhenUsed/>
    <w:qFormat/>
    <w:rsid w:val="007a473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2f370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2f3704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f370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CitaoChar"/>
    <w:uiPriority w:val="29"/>
    <w:qFormat/>
    <w:rsid w:val="00e3762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Arial" w:hAnsi="Arial" w:eastAsia="Calibri" w:cs="Times New Roman"/>
      <w:i/>
      <w:iCs/>
      <w:color w:val="000000"/>
      <w:sz w:val="20"/>
      <w:szCs w:val="24"/>
    </w:rPr>
  </w:style>
  <w:style w:type="paragraph" w:styleId="Corpodotextorecuado">
    <w:name w:val="Body Text Indent"/>
    <w:basedOn w:val="Normal"/>
    <w:link w:val="RecuodecorpodetextoChar"/>
    <w:uiPriority w:val="99"/>
    <w:unhideWhenUsed/>
    <w:rsid w:val="00ef1c22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d44cfb"/>
    <w:pPr>
      <w:tabs>
        <w:tab w:val="clear" w:pos="624"/>
        <w:tab w:val="center" w:pos="4252" w:leader="none"/>
        <w:tab w:val="right" w:pos="8504" w:leader="none"/>
      </w:tabs>
      <w:spacing w:lineRule="auto" w:line="240" w:before="0" w:after="0"/>
    </w:pPr>
    <w:rPr>
      <w:rFonts w:ascii="Arial" w:hAnsi="Arial" w:eastAsia="Times New Roman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nhideWhenUsed/>
    <w:rsid w:val="00482012"/>
    <w:pPr>
      <w:tabs>
        <w:tab w:val="clear" w:pos="624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odyTextIndent3">
    <w:name w:val="Body Text Indent 3"/>
    <w:basedOn w:val="Normal"/>
    <w:link w:val="Recuodecorpodetexto3Char"/>
    <w:unhideWhenUsed/>
    <w:qFormat/>
    <w:rsid w:val="00396f25"/>
    <w:pPr>
      <w:spacing w:lineRule="auto" w:line="240" w:before="0" w:after="120"/>
      <w:ind w:left="283" w:hanging="0"/>
    </w:pPr>
    <w:rPr>
      <w:rFonts w:ascii="Arial" w:hAnsi="Arial" w:eastAsia="Times New Roman" w:cs="Tahoma"/>
      <w:sz w:val="16"/>
      <w:szCs w:val="16"/>
      <w:lang w:eastAsia="pt-BR"/>
    </w:rPr>
  </w:style>
  <w:style w:type="paragraph" w:styleId="BodyText2">
    <w:name w:val="Body Text 2"/>
    <w:basedOn w:val="Normal"/>
    <w:link w:val="Corpodetexto2Char"/>
    <w:qFormat/>
    <w:rsid w:val="00776250"/>
    <w:pPr>
      <w:spacing w:lineRule="auto" w:line="480" w:before="0" w:after="120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Textbody" w:customStyle="1">
    <w:name w:val="Text body"/>
    <w:basedOn w:val="Normal"/>
    <w:qFormat/>
    <w:rsid w:val="007d7b62"/>
    <w:pPr>
      <w:widowControl w:val="false"/>
      <w:suppressAutoHyphens w:val="true"/>
      <w:spacing w:lineRule="auto" w:line="240" w:before="0" w:after="120"/>
      <w:textAlignment w:val="baseline"/>
    </w:pPr>
    <w:rPr>
      <w:rFonts w:ascii="Times New Roman" w:hAnsi="Times New Roman" w:eastAsia="Arial Unicode MS" w:cs="Tahoma"/>
      <w:kern w:val="2"/>
      <w:sz w:val="24"/>
      <w:szCs w:val="24"/>
      <w:lang w:eastAsia="zh-CN"/>
    </w:rPr>
  </w:style>
  <w:style w:type="paragraph" w:styleId="Compras" w:customStyle="1">
    <w:name w:val="compras"/>
    <w:qFormat/>
    <w:rsid w:val="00e87c4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Batang" w:cs="Times New Roman"/>
      <w:color w:val="auto"/>
      <w:kern w:val="2"/>
      <w:sz w:val="24"/>
      <w:szCs w:val="20"/>
      <w:lang w:val="pt-BR" w:eastAsia="pt-BR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ucida Sans Unicode" w:cs="Times New Roman"/>
      <w:color w:val="auto"/>
      <w:kern w:val="0"/>
      <w:sz w:val="22"/>
      <w:szCs w:val="22"/>
      <w:lang w:val="pt-BR" w:eastAsia="en-US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a57e57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6268e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99"/>
    <w:rsid w:val="00467520"/>
    <w:pPr>
      <w:spacing w:after="0" w:line="240" w:lineRule="auto"/>
    </w:pPr>
    <w:rPr>
      <w:lang w:eastAsia="pt-BR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aineldeprecos.planejamento.gov.br/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Application>LibreOffice/7.3.7.2$Linux_X86_64 LibreOffice_project/30$Build-2</Application>
  <AppVersion>15.0000</AppVersion>
  <Pages>4</Pages>
  <Words>1319</Words>
  <Characters>7559</Characters>
  <CharactersWithSpaces>8835</CharactersWithSpaces>
  <Paragraphs>61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2018-11-12T11:48:00Z</dcterms:created>
  <dc:creator>CHRISTINE CACERES BURGHART</dc:creator>
  <dc:description/>
  <dc:language>pt-BR</dc:language>
  <cp:lastModifiedBy/>
  <cp:lastPrinted>2021-09-08T14:04:22Z</cp:lastPrinted>
  <dcterms:modified xsi:type="dcterms:W3CDTF">2024-10-18T11:08:49Z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